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6082" w14:textId="69C92FA4" w:rsidR="00BA0974" w:rsidRDefault="00A369B5">
      <w:pPr>
        <w:jc w:val="both"/>
        <w:rPr>
          <w:rFonts w:ascii="Arial (W1)" w:hAnsi="Arial (W1)"/>
          <w:b/>
          <w:sz w:val="19"/>
        </w:rPr>
      </w:pPr>
      <w:r>
        <w:rPr>
          <w:rFonts w:ascii="Arial (W1)" w:hAnsi="Arial (W1)"/>
          <w:b/>
          <w:sz w:val="19"/>
        </w:rPr>
        <w:t xml:space="preserve">Board Policy to go into </w:t>
      </w:r>
      <w:r w:rsidR="00B404CC">
        <w:rPr>
          <w:rFonts w:ascii="Arial (W1)" w:hAnsi="Arial (W1)"/>
          <w:b/>
          <w:sz w:val="19"/>
        </w:rPr>
        <w:t>the Board’s Manual on Governance Process</w:t>
      </w:r>
    </w:p>
    <w:p w14:paraId="2D1D50F1" w14:textId="02E0BC9F" w:rsidR="00BA0974" w:rsidRDefault="00BA0974">
      <w:pPr>
        <w:jc w:val="both"/>
        <w:rPr>
          <w:rFonts w:ascii="Arial (W1)" w:hAnsi="Arial (W1)"/>
          <w:i/>
          <w:sz w:val="19"/>
        </w:rPr>
      </w:pPr>
      <w:r>
        <w:rPr>
          <w:rFonts w:ascii="Arial (W1)" w:hAnsi="Arial (W1)"/>
          <w:b/>
          <w:sz w:val="19"/>
        </w:rPr>
        <w:t xml:space="preserve">POLICY TITLE: </w:t>
      </w:r>
      <w:r>
        <w:rPr>
          <w:rFonts w:ascii="Arial (W1)" w:hAnsi="Arial (W1)"/>
          <w:b/>
          <w:i/>
          <w:sz w:val="19"/>
        </w:rPr>
        <w:t>RULES OF ORDER</w:t>
      </w:r>
      <w:r w:rsidR="004510E3">
        <w:rPr>
          <w:rStyle w:val="FootnoteReference"/>
          <w:rFonts w:ascii="Arial (W1)" w:hAnsi="Arial (W1)"/>
          <w:b/>
          <w:i/>
          <w:sz w:val="19"/>
        </w:rPr>
        <w:footnoteReference w:id="1"/>
      </w:r>
    </w:p>
    <w:p w14:paraId="58B6EEBD" w14:textId="77777777" w:rsidR="00BA0974" w:rsidRDefault="00BA0974">
      <w:pPr>
        <w:jc w:val="both"/>
        <w:rPr>
          <w:rFonts w:ascii="Arial (W1)" w:hAnsi="Arial (W1)"/>
          <w:i/>
          <w:sz w:val="19"/>
        </w:rPr>
      </w:pPr>
    </w:p>
    <w:p w14:paraId="7CF1A38B" w14:textId="7AB32131" w:rsidR="00BA0974" w:rsidRDefault="00BE1A0B">
      <w:pPr>
        <w:jc w:val="both"/>
        <w:rPr>
          <w:rFonts w:ascii="Arial (W1)" w:hAnsi="Arial (W1)"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F4BFD4D" wp14:editId="0CCEF5A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841021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89BE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" o:allowincell="f" strokecolor="#020000" strokeweight=".96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1416551" wp14:editId="31C9EA17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943600" cy="0"/>
                <wp:effectExtent l="0" t="0" r="0" b="0"/>
                <wp:wrapNone/>
                <wp:docPr id="10905780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5E04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5pt" to="46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</w:p>
    <w:p w14:paraId="5D1C185C" w14:textId="77777777" w:rsidR="00BA0974" w:rsidRDefault="00BA0974">
      <w:pPr>
        <w:jc w:val="both"/>
        <w:rPr>
          <w:rFonts w:ascii="Arial (W1)" w:hAnsi="Arial (W1)"/>
          <w:i/>
          <w:sz w:val="19"/>
        </w:rPr>
      </w:pPr>
    </w:p>
    <w:p w14:paraId="19DF6DD9" w14:textId="77777777" w:rsidR="00BA0974" w:rsidRDefault="00BA0974">
      <w:pPr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 xml:space="preserve">Board meetings will be conducted in an orderly, effective process, </w:t>
      </w:r>
      <w:proofErr w:type="gramStart"/>
      <w:r>
        <w:rPr>
          <w:rFonts w:ascii="Arial (W1)" w:hAnsi="Arial (W1)"/>
          <w:sz w:val="19"/>
        </w:rPr>
        <w:t>led</w:t>
      </w:r>
      <w:proofErr w:type="gramEnd"/>
      <w:r>
        <w:rPr>
          <w:rFonts w:ascii="Arial (W1)" w:hAnsi="Arial (W1)"/>
          <w:sz w:val="19"/>
        </w:rPr>
        <w:t xml:space="preserve"> and defined by the chair.</w:t>
      </w:r>
    </w:p>
    <w:p w14:paraId="2B85CAF1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46C7405D" w14:textId="77777777" w:rsidR="00BA0974" w:rsidRDefault="00BA0974">
      <w:pPr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Accordingly:</w:t>
      </w:r>
    </w:p>
    <w:p w14:paraId="64FD0E31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5B1668E8" w14:textId="77777777" w:rsidR="00BA0974" w:rsidRDefault="00BA0974">
      <w:pPr>
        <w:tabs>
          <w:tab w:val="left" w:pos="720"/>
        </w:tabs>
        <w:ind w:left="72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1.</w:t>
      </w:r>
      <w:r>
        <w:rPr>
          <w:rFonts w:ascii="Arial (W1)" w:hAnsi="Arial (W1)"/>
          <w:sz w:val="19"/>
        </w:rPr>
        <w:tab/>
        <w:t>All by-law obligations respecting board meetings must be satisfied.</w:t>
      </w:r>
    </w:p>
    <w:p w14:paraId="05C376D5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36B28818" w14:textId="77777777" w:rsidR="00BA0974" w:rsidRDefault="00BA0974">
      <w:pPr>
        <w:tabs>
          <w:tab w:val="left" w:pos="720"/>
        </w:tabs>
        <w:ind w:left="72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2.</w:t>
      </w:r>
      <w:r>
        <w:rPr>
          <w:rFonts w:ascii="Arial (W1)" w:hAnsi="Arial (W1)"/>
          <w:sz w:val="19"/>
        </w:rPr>
        <w:tab/>
        <w:t>Board meetings shall be called to order at the time specified in the notice of meeting (or as pre-arranged) and upon satisfaction of quorum.</w:t>
      </w:r>
    </w:p>
    <w:p w14:paraId="7A1BDBD4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19CD4F6D" w14:textId="77777777" w:rsidR="00BA0974" w:rsidRDefault="00BA0974">
      <w:pPr>
        <w:tabs>
          <w:tab w:val="left" w:pos="720"/>
        </w:tabs>
        <w:ind w:left="72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3.</w:t>
      </w:r>
      <w:r>
        <w:rPr>
          <w:rFonts w:ascii="Arial (W1)" w:hAnsi="Arial (W1)"/>
          <w:sz w:val="19"/>
        </w:rPr>
        <w:tab/>
        <w:t xml:space="preserve">Meeting order and decorum shall be </w:t>
      </w:r>
      <w:proofErr w:type="gramStart"/>
      <w:r>
        <w:rPr>
          <w:rFonts w:ascii="Arial (W1)" w:hAnsi="Arial (W1)"/>
          <w:sz w:val="19"/>
        </w:rPr>
        <w:t>maintained</w:t>
      </w:r>
      <w:proofErr w:type="gramEnd"/>
      <w:r>
        <w:rPr>
          <w:rFonts w:ascii="Arial (W1)" w:hAnsi="Arial (W1)"/>
          <w:sz w:val="19"/>
        </w:rPr>
        <w:t xml:space="preserve"> and all members treated with dignity, respect, courtesy, and fairness during discussion and debate and in all other respects.</w:t>
      </w:r>
    </w:p>
    <w:p w14:paraId="746CC25D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0B696BB7" w14:textId="77777777" w:rsidR="00BA0974" w:rsidRDefault="00BA0974">
      <w:pPr>
        <w:tabs>
          <w:tab w:val="left" w:pos="720"/>
        </w:tabs>
        <w:ind w:left="72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4.</w:t>
      </w:r>
      <w:r>
        <w:rPr>
          <w:rFonts w:ascii="Arial (W1)" w:hAnsi="Arial (W1)"/>
          <w:sz w:val="19"/>
        </w:rPr>
        <w:tab/>
        <w:t>Board members must keep their comments relevant to the issue under consideration.</w:t>
      </w:r>
    </w:p>
    <w:p w14:paraId="6655FDC1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0BF4D0C0" w14:textId="19FBF159" w:rsidR="00BA0974" w:rsidRDefault="00BA0974">
      <w:pPr>
        <w:tabs>
          <w:tab w:val="left" w:pos="720"/>
        </w:tabs>
        <w:ind w:left="72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5.</w:t>
      </w:r>
      <w:r>
        <w:rPr>
          <w:rFonts w:ascii="Arial (W1)" w:hAnsi="Arial (W1)"/>
          <w:sz w:val="19"/>
        </w:rPr>
        <w:tab/>
        <w:t xml:space="preserve">Board meetings will be conducted at a level of informality considered appropriate by the chair, including that discussion of a matter </w:t>
      </w:r>
      <w:r w:rsidRPr="00B404CC">
        <w:rPr>
          <w:rFonts w:ascii="Arial (W1)" w:hAnsi="Arial (W1)"/>
          <w:sz w:val="19"/>
          <w:highlight w:val="yellow"/>
        </w:rPr>
        <w:t>may (may not)</w:t>
      </w:r>
      <w:r w:rsidR="00B404CC">
        <w:rPr>
          <w:rStyle w:val="FootnoteReference"/>
          <w:rFonts w:ascii="Arial (W1)" w:hAnsi="Arial (W1)"/>
          <w:sz w:val="19"/>
          <w:highlight w:val="yellow"/>
        </w:rPr>
        <w:footnoteReference w:id="2"/>
      </w:r>
      <w:r>
        <w:rPr>
          <w:rFonts w:ascii="Arial (W1)" w:hAnsi="Arial (W1)"/>
          <w:sz w:val="19"/>
        </w:rPr>
        <w:t xml:space="preserve"> occur prior to a proposal that action be taken on any given subject.</w:t>
      </w:r>
    </w:p>
    <w:p w14:paraId="49F8FDFC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70349B23" w14:textId="77777777" w:rsidR="00BA0974" w:rsidRDefault="00BA0974">
      <w:pPr>
        <w:tabs>
          <w:tab w:val="left" w:pos="720"/>
        </w:tabs>
        <w:ind w:left="72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6.</w:t>
      </w:r>
      <w:r>
        <w:rPr>
          <w:rFonts w:ascii="Arial (W1)" w:hAnsi="Arial (W1)"/>
          <w:sz w:val="19"/>
        </w:rPr>
        <w:tab/>
        <w:t xml:space="preserve">Proposals that the board </w:t>
      </w:r>
      <w:proofErr w:type="gramStart"/>
      <w:r>
        <w:rPr>
          <w:rFonts w:ascii="Arial (W1)" w:hAnsi="Arial (W1)"/>
          <w:sz w:val="19"/>
        </w:rPr>
        <w:t>take action</w:t>
      </w:r>
      <w:proofErr w:type="gramEnd"/>
      <w:r>
        <w:rPr>
          <w:rFonts w:ascii="Arial (W1)" w:hAnsi="Arial (W1)"/>
          <w:sz w:val="19"/>
        </w:rPr>
        <w:t xml:space="preserve">, or decide a particular matter, shall (unless otherwise agreed to by unanimous consent) be made by main motion of a board member, discussed, and then voted on. Motions </w:t>
      </w:r>
      <w:r w:rsidRPr="00B404CC">
        <w:rPr>
          <w:rFonts w:ascii="Arial (W1)" w:hAnsi="Arial (W1)"/>
          <w:sz w:val="19"/>
          <w:highlight w:val="yellow"/>
        </w:rPr>
        <w:t>do not require (</w:t>
      </w:r>
      <w:proofErr w:type="gramStart"/>
      <w:r w:rsidRPr="00B404CC">
        <w:rPr>
          <w:rFonts w:ascii="Arial (W1)" w:hAnsi="Arial (W1)"/>
          <w:sz w:val="19"/>
          <w:highlight w:val="yellow"/>
        </w:rPr>
        <w:t>or,</w:t>
      </w:r>
      <w:proofErr w:type="gramEnd"/>
      <w:r w:rsidRPr="00B404CC">
        <w:rPr>
          <w:rFonts w:ascii="Arial (W1)" w:hAnsi="Arial (W1)"/>
          <w:sz w:val="19"/>
          <w:highlight w:val="yellow"/>
        </w:rPr>
        <w:t xml:space="preserve"> “motions require...”)</w:t>
      </w:r>
      <w:r>
        <w:rPr>
          <w:rFonts w:ascii="Arial (W1)" w:hAnsi="Arial (W1)"/>
          <w:sz w:val="19"/>
        </w:rPr>
        <w:t xml:space="preserve"> a second to proceed to discussion and subsequent vote.</w:t>
      </w:r>
    </w:p>
    <w:p w14:paraId="2D3091D1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3B56BB65" w14:textId="77777777" w:rsidR="00BA0974" w:rsidRDefault="00BA0974">
      <w:pPr>
        <w:tabs>
          <w:tab w:val="left" w:pos="720"/>
          <w:tab w:val="left" w:pos="1440"/>
        </w:tabs>
        <w:ind w:left="144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A.</w:t>
      </w:r>
      <w:r>
        <w:rPr>
          <w:rFonts w:ascii="Arial (W1)" w:hAnsi="Arial (W1)"/>
          <w:sz w:val="19"/>
        </w:rPr>
        <w:tab/>
        <w:t xml:space="preserve">The chair of the board </w:t>
      </w:r>
      <w:r w:rsidRPr="00B404CC">
        <w:rPr>
          <w:rFonts w:ascii="Arial (W1)" w:hAnsi="Arial (W1)"/>
          <w:sz w:val="19"/>
          <w:highlight w:val="yellow"/>
        </w:rPr>
        <w:t>may, (not)</w:t>
      </w:r>
      <w:r>
        <w:rPr>
          <w:rFonts w:ascii="Arial (W1)" w:hAnsi="Arial (W1)"/>
          <w:sz w:val="19"/>
        </w:rPr>
        <w:t xml:space="preserve"> to the same extent as any board member, make motions, engage in debate, and vote on any matter to be decided.</w:t>
      </w:r>
    </w:p>
    <w:p w14:paraId="095FDB93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3D774DA0" w14:textId="77777777" w:rsidR="00BA0974" w:rsidRDefault="00BA0974">
      <w:pPr>
        <w:tabs>
          <w:tab w:val="left" w:pos="720"/>
          <w:tab w:val="left" w:pos="1440"/>
        </w:tabs>
        <w:ind w:left="144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B.</w:t>
      </w:r>
      <w:r>
        <w:rPr>
          <w:rFonts w:ascii="Arial (W1)" w:hAnsi="Arial (W1)"/>
          <w:sz w:val="19"/>
        </w:rPr>
        <w:tab/>
        <w:t>A motion to amend a main motion may be amended but third level amendments are out of order.</w:t>
      </w:r>
    </w:p>
    <w:p w14:paraId="24E9C7F2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37A85A11" w14:textId="77777777" w:rsidR="00BA0974" w:rsidRDefault="00BA0974">
      <w:pPr>
        <w:tabs>
          <w:tab w:val="left" w:pos="720"/>
          <w:tab w:val="left" w:pos="1440"/>
        </w:tabs>
        <w:ind w:left="144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C.</w:t>
      </w:r>
      <w:r>
        <w:rPr>
          <w:rFonts w:ascii="Arial (W1)" w:hAnsi="Arial (W1)"/>
          <w:sz w:val="19"/>
        </w:rPr>
        <w:tab/>
        <w:t>A motion to refer to a committee, postpone, or table, may be made with respect to a pending main motion, and if carried shall set the main motion (the initial proposal) aside accordingly.</w:t>
      </w:r>
    </w:p>
    <w:p w14:paraId="50941F22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5D7B36D6" w14:textId="77777777" w:rsidR="00BA0974" w:rsidRDefault="00BA0974">
      <w:pPr>
        <w:tabs>
          <w:tab w:val="left" w:pos="720"/>
        </w:tabs>
        <w:ind w:left="72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7.</w:t>
      </w:r>
      <w:r>
        <w:rPr>
          <w:rFonts w:ascii="Arial (W1)" w:hAnsi="Arial (W1)"/>
          <w:sz w:val="19"/>
        </w:rPr>
        <w:tab/>
        <w:t>Board members may speak to a pending motion on as many occasions, and at such length, as the chair may reasonably allow.</w:t>
      </w:r>
    </w:p>
    <w:p w14:paraId="5AF3A7A0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507296F1" w14:textId="77777777" w:rsidR="00BA0974" w:rsidRDefault="00BA0974">
      <w:pPr>
        <w:tabs>
          <w:tab w:val="left" w:pos="720"/>
        </w:tabs>
        <w:ind w:left="72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8.</w:t>
      </w:r>
      <w:r>
        <w:rPr>
          <w:rFonts w:ascii="Arial (W1)" w:hAnsi="Arial (W1)"/>
          <w:sz w:val="19"/>
        </w:rPr>
        <w:tab/>
        <w:t xml:space="preserve">A vote on a motion shall be taken when discussion ends but any board member may, </w:t>
      </w:r>
      <w:proofErr w:type="gramStart"/>
      <w:r>
        <w:rPr>
          <w:rFonts w:ascii="Arial (W1)" w:hAnsi="Arial (W1)"/>
          <w:sz w:val="19"/>
        </w:rPr>
        <w:t>during the course of</w:t>
      </w:r>
      <w:proofErr w:type="gramEnd"/>
      <w:r>
        <w:rPr>
          <w:rFonts w:ascii="Arial (W1)" w:hAnsi="Arial (W1)"/>
          <w:sz w:val="19"/>
        </w:rPr>
        <w:t xml:space="preserve"> debate, move for an immediate vote (close debate) which, if carried, shall end discussion and the vote on the main motion shall then be taken.</w:t>
      </w:r>
    </w:p>
    <w:p w14:paraId="57157204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6CC3F4D1" w14:textId="77777777" w:rsidR="00BA0974" w:rsidRDefault="00BA0974">
      <w:pPr>
        <w:tabs>
          <w:tab w:val="left" w:pos="720"/>
        </w:tabs>
        <w:ind w:left="72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9.</w:t>
      </w:r>
      <w:r>
        <w:rPr>
          <w:rFonts w:ascii="Arial (W1)" w:hAnsi="Arial (W1)"/>
          <w:sz w:val="19"/>
        </w:rPr>
        <w:tab/>
        <w:t xml:space="preserve">A majority vote will decide all motions before the board </w:t>
      </w:r>
      <w:proofErr w:type="gramStart"/>
      <w:r>
        <w:rPr>
          <w:rFonts w:ascii="Arial (W1)" w:hAnsi="Arial (W1)"/>
          <w:sz w:val="19"/>
        </w:rPr>
        <w:t>excepting</w:t>
      </w:r>
      <w:proofErr w:type="gramEnd"/>
      <w:r>
        <w:rPr>
          <w:rFonts w:ascii="Arial (W1)" w:hAnsi="Arial (W1)"/>
          <w:sz w:val="19"/>
        </w:rPr>
        <w:t xml:space="preserve"> those matters in the by-laws or articles of association (constitution) which oblige a higher level of approval.</w:t>
      </w:r>
    </w:p>
    <w:p w14:paraId="3493EF50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2A508D6E" w14:textId="77777777" w:rsidR="00BA0974" w:rsidRDefault="00BA0974">
      <w:pPr>
        <w:tabs>
          <w:tab w:val="left" w:pos="720"/>
        </w:tabs>
        <w:ind w:left="720" w:hanging="720"/>
        <w:jc w:val="both"/>
        <w:rPr>
          <w:rFonts w:ascii="Arial (W1)" w:hAnsi="Arial (W1)"/>
          <w:sz w:val="19"/>
        </w:rPr>
      </w:pPr>
      <w:r>
        <w:rPr>
          <w:rFonts w:ascii="Arial (W1)" w:hAnsi="Arial (W1)"/>
          <w:sz w:val="19"/>
        </w:rPr>
        <w:t>10.</w:t>
      </w:r>
      <w:r>
        <w:rPr>
          <w:rFonts w:ascii="Arial (W1)" w:hAnsi="Arial (W1)"/>
          <w:sz w:val="19"/>
        </w:rPr>
        <w:tab/>
        <w:t>A motion to adjourn a board meeting may be offered by any board member or, on the conclusion of all business, adjournment of the meeting may be declared by the chair.</w:t>
      </w:r>
    </w:p>
    <w:p w14:paraId="6F4E85BB" w14:textId="77777777" w:rsidR="00BA0974" w:rsidRDefault="00BA0974">
      <w:pPr>
        <w:jc w:val="both"/>
        <w:rPr>
          <w:rFonts w:ascii="Arial (W1)" w:hAnsi="Arial (W1)"/>
          <w:sz w:val="19"/>
        </w:rPr>
      </w:pPr>
    </w:p>
    <w:p w14:paraId="326D4FCB" w14:textId="77777777" w:rsidR="00145783" w:rsidRDefault="00BA0974">
      <w:r>
        <w:rPr>
          <w:rFonts w:ascii="Arial (W1)" w:hAnsi="Arial (W1)"/>
          <w:sz w:val="19"/>
        </w:rPr>
        <w:t>11.</w:t>
      </w:r>
      <w:r>
        <w:rPr>
          <w:rFonts w:ascii="Arial (W1)" w:hAnsi="Arial (W1)"/>
          <w:sz w:val="19"/>
        </w:rPr>
        <w:tab/>
        <w:t xml:space="preserve">When further rules or </w:t>
      </w:r>
      <w:proofErr w:type="gramStart"/>
      <w:r>
        <w:rPr>
          <w:rFonts w:ascii="Arial (W1)" w:hAnsi="Arial (W1)"/>
          <w:sz w:val="19"/>
        </w:rPr>
        <w:t>order</w:t>
      </w:r>
      <w:proofErr w:type="gramEnd"/>
      <w:r>
        <w:rPr>
          <w:rFonts w:ascii="Arial (W1)" w:hAnsi="Arial (W1)"/>
          <w:sz w:val="19"/>
        </w:rPr>
        <w:t xml:space="preserve"> are to be developed by the board, the board will consider the Standard Code of Parliamentary Procedure (or RONR; or other authority), as a resource guide.</w:t>
      </w:r>
    </w:p>
    <w:sectPr w:rsidR="001457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25DC" w14:textId="77777777" w:rsidR="00B404CC" w:rsidRDefault="00B404CC" w:rsidP="00B404CC">
      <w:r>
        <w:separator/>
      </w:r>
    </w:p>
  </w:endnote>
  <w:endnote w:type="continuationSeparator" w:id="0">
    <w:p w14:paraId="7A262989" w14:textId="77777777" w:rsidR="00B404CC" w:rsidRDefault="00B404CC" w:rsidP="00B4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BA25" w14:textId="77777777" w:rsidR="00B404CC" w:rsidRDefault="00B404CC" w:rsidP="00B404CC">
      <w:r>
        <w:separator/>
      </w:r>
    </w:p>
  </w:footnote>
  <w:footnote w:type="continuationSeparator" w:id="0">
    <w:p w14:paraId="270D200E" w14:textId="77777777" w:rsidR="00B404CC" w:rsidRDefault="00B404CC" w:rsidP="00B404CC">
      <w:r>
        <w:continuationSeparator/>
      </w:r>
    </w:p>
  </w:footnote>
  <w:footnote w:id="1">
    <w:p w14:paraId="02B0E42D" w14:textId="119719B2" w:rsidR="004510E3" w:rsidRDefault="004510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44802">
        <w:t xml:space="preserve">This </w:t>
      </w:r>
      <w:proofErr w:type="gramStart"/>
      <w:r w:rsidR="00A44802">
        <w:t>one page</w:t>
      </w:r>
      <w:proofErr w:type="gramEnd"/>
      <w:r w:rsidR="00A44802">
        <w:t xml:space="preserve"> summary of rules of order was originally developed by parliamentarian Pat Knoll of Canada.  </w:t>
      </w:r>
      <w:r w:rsidR="00F94FA5">
        <w:t xml:space="preserve">It </w:t>
      </w:r>
      <w:r w:rsidR="005B4881">
        <w:t xml:space="preserve">has been used in many Policy Governance Manuals for more than 15 years. </w:t>
      </w:r>
    </w:p>
  </w:footnote>
  <w:footnote w:id="2">
    <w:p w14:paraId="7166996D" w14:textId="46390CFF" w:rsidR="00B404CC" w:rsidRDefault="00B404CC">
      <w:pPr>
        <w:pStyle w:val="FootnoteText"/>
      </w:pPr>
      <w:r>
        <w:rPr>
          <w:rStyle w:val="FootnoteReference"/>
        </w:rPr>
        <w:footnoteRef/>
      </w:r>
      <w:r>
        <w:t xml:space="preserve"> The highlighted areas in yellow </w:t>
      </w:r>
      <w:r w:rsidR="00807B65">
        <w:t xml:space="preserve">may be decided by the Board.  I recommend that </w:t>
      </w:r>
      <w:r w:rsidR="004510E3">
        <w:t xml:space="preserve">discuss not take place without a motion, </w:t>
      </w:r>
      <w:r w:rsidR="00807B65">
        <w:t>motions require a second</w:t>
      </w:r>
      <w:r w:rsidR="004510E3">
        <w:t xml:space="preserve"> and</w:t>
      </w:r>
      <w:r w:rsidR="00807B65">
        <w:t xml:space="preserve"> the Chair may not debate but may vote,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D1249"/>
    <w:multiLevelType w:val="hybridMultilevel"/>
    <w:tmpl w:val="5CBA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441240"/>
    <w:multiLevelType w:val="hybridMultilevel"/>
    <w:tmpl w:val="02F0FE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9462880">
    <w:abstractNumId w:val="0"/>
  </w:num>
  <w:num w:numId="2" w16cid:durableId="130635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B2"/>
    <w:rsid w:val="00145783"/>
    <w:rsid w:val="004510E3"/>
    <w:rsid w:val="005B4881"/>
    <w:rsid w:val="00672BB2"/>
    <w:rsid w:val="00807B65"/>
    <w:rsid w:val="00A369B5"/>
    <w:rsid w:val="00A44802"/>
    <w:rsid w:val="00B404CC"/>
    <w:rsid w:val="00BA0974"/>
    <w:rsid w:val="00BE1A0B"/>
    <w:rsid w:val="00F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F0AE6F"/>
  <w15:chartTrackingRefBased/>
  <w15:docId w15:val="{42663632-E1F6-4136-8F82-5CEF560C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rFonts w:ascii="Arial (W1)" w:hAnsi="Arial (W1)"/>
      <w:sz w:val="19"/>
      <w:szCs w:val="19"/>
    </w:rPr>
  </w:style>
  <w:style w:type="paragraph" w:styleId="BodyTextIndent2">
    <w:name w:val="Body Text Indent 2"/>
    <w:basedOn w:val="Normal"/>
    <w:semiHidden/>
    <w:pPr>
      <w:ind w:left="720"/>
      <w:jc w:val="both"/>
    </w:pPr>
    <w:rPr>
      <w:rFonts w:ascii="Arial (W1)" w:hAnsi="Arial (W1)"/>
      <w:b/>
      <w:bCs/>
      <w:sz w:val="19"/>
      <w:szCs w:val="19"/>
    </w:rPr>
  </w:style>
  <w:style w:type="paragraph" w:styleId="BodyTextIndent3">
    <w:name w:val="Body Text Indent 3"/>
    <w:basedOn w:val="Normal"/>
    <w:semiHidden/>
    <w:pPr>
      <w:ind w:left="720"/>
      <w:jc w:val="both"/>
    </w:p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BodyText2">
    <w:name w:val="Body Text 2"/>
    <w:basedOn w:val="Normal"/>
    <w:semiHidden/>
    <w:rPr>
      <w:rFonts w:ascii="Arial" w:hAnsi="Arial" w:cs="Aria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CC"/>
  </w:style>
  <w:style w:type="character" w:styleId="FootnoteReference">
    <w:name w:val="footnote reference"/>
    <w:basedOn w:val="DefaultParagraphFont"/>
    <w:uiPriority w:val="99"/>
    <w:semiHidden/>
    <w:unhideWhenUsed/>
    <w:rsid w:val="00B40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EA3F48C9BC042945F59FD2D94CEE9" ma:contentTypeVersion="16" ma:contentTypeDescription="Create a new document." ma:contentTypeScope="" ma:versionID="82f9ac2f84ebba155daf4aa1b58e59e5">
  <xsd:schema xmlns:xsd="http://www.w3.org/2001/XMLSchema" xmlns:xs="http://www.w3.org/2001/XMLSchema" xmlns:p="http://schemas.microsoft.com/office/2006/metadata/properties" xmlns:ns2="c5f0483c-9ec7-4500-a60d-8ca1071613bb" xmlns:ns3="0e3d3907-ad08-424d-bf74-7907a2e73c41" targetNamespace="http://schemas.microsoft.com/office/2006/metadata/properties" ma:root="true" ma:fieldsID="8c97bab779fd9c2c93077050e522baa9" ns2:_="" ns3:_="">
    <xsd:import namespace="c5f0483c-9ec7-4500-a60d-8ca1071613bb"/>
    <xsd:import namespace="0e3d3907-ad08-424d-bf74-7907a2e73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483c-9ec7-4500-a60d-8ca107161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dca764-fb1e-4227-8806-8c011bfc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d3907-ad08-424d-bf74-7907a2e73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1b72a-d10a-4700-b7ce-f7222e1e69ed}" ma:internalName="TaxCatchAll" ma:showField="CatchAllData" ma:web="0e3d3907-ad08-424d-bf74-7907a2e73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d3907-ad08-424d-bf74-7907a2e73c41" xsi:nil="true"/>
    <lcf76f155ced4ddcb4097134ff3c332f xmlns="c5f0483c-9ec7-4500-a60d-8ca1071613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00F4BF-31F5-4C24-84B9-EF8C3ABEF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93B26-9D42-4D37-BA04-B00B656B825B}"/>
</file>

<file path=customXml/itemProps3.xml><?xml version="1.0" encoding="utf-8"?>
<ds:datastoreItem xmlns:ds="http://schemas.openxmlformats.org/officeDocument/2006/customXml" ds:itemID="{666AD66E-DB25-4748-B5DE-DAE463E3AEA9}"/>
</file>

<file path=customXml/itemProps4.xml><?xml version="1.0" encoding="utf-8"?>
<ds:datastoreItem xmlns:ds="http://schemas.openxmlformats.org/officeDocument/2006/customXml" ds:itemID="{E7569C62-A1FA-4CCF-993B-76140FF4FB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440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“B”</vt:lpstr>
    </vt:vector>
  </TitlesOfParts>
  <Company>Carver Governance Design, Inc.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“B”</dc:title>
  <dc:subject/>
  <dc:creator>John Carver</dc:creator>
  <cp:keywords/>
  <dc:description/>
  <cp:lastModifiedBy>Reid Lehman</cp:lastModifiedBy>
  <cp:revision>9</cp:revision>
  <cp:lastPrinted>2004-05-17T13:51:00Z</cp:lastPrinted>
  <dcterms:created xsi:type="dcterms:W3CDTF">2023-05-11T14:24:00Z</dcterms:created>
  <dcterms:modified xsi:type="dcterms:W3CDTF">2023-05-11T14:29:00Z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0x0101004B1EA3F48C9BC042945F59FD2D94CEE9</vt:lpwstr>
  </property>
</Properties>
</file>